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2200565</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rFonts w:cs="David"/>
          <w:b/>
          <w:bCs/>
          <w:sz w:val="26"/>
          <w:szCs w:val="26"/>
          <w:rtl/>
        </w:rPr>
      </w:pPr>
    </w:p>
    <w:p w14:paraId="7F6961A6" w14:textId="3EB03E51" w:rsidR="00E13C27" w:rsidRDefault="008F6665" w:rsidP="00930EFE">
      <w:pPr>
        <w:pStyle w:val="David"/>
        <w:spacing w:line="360" w:lineRule="auto"/>
        <w:ind w:left="3544"/>
        <w:rPr>
          <w:b/>
          <w:bCs/>
          <w:rtl/>
        </w:rPr>
      </w:pPr>
      <w:bookmarkStart w:id="2" w:name="LGS_Initiators_List"/>
      <w:r>
        <w:rPr>
          <w:b/>
          <w:bCs/>
          <w:rtl/>
        </w:rPr>
        <w:t>יוזם:</w:t>
      </w:r>
      <w:r>
        <w:tab/>
      </w:r>
      <w:r>
        <w:rPr>
          <w:b/>
          <w:bCs/>
          <w:rtl/>
        </w:rPr>
        <w:t xml:space="preserve">      חבר הכנסת</w:t>
      </w:r>
      <w:bookmarkEnd w:id="2"/>
      <w:r w:rsidR="00B35784" w:rsidRPr="00F67051">
        <w:rPr>
          <w:b/>
          <w:bCs/>
        </w:rPr>
        <w:tab/>
      </w:r>
      <w:bookmarkStart w:id="3" w:name="LGS_PM_Names"/>
      <w:r w:rsidR="00F6798B">
        <w:rPr>
          <w:rFonts w:hint="cs"/>
          <w:b/>
          <w:bCs/>
          <w:rtl/>
        </w:rPr>
        <w:t>ואליד אל</w:t>
      </w:r>
      <w:bookmarkStart w:id="4" w:name="_GoBack"/>
      <w:bookmarkEnd w:id="4"/>
      <w:r>
        <w:rPr>
          <w:rFonts w:hint="cs"/>
          <w:b/>
          <w:bCs/>
          <w:rtl/>
        </w:rPr>
        <w:t>הואשלה</w:t>
      </w:r>
      <w:bookmarkEnd w:id="3"/>
    </w:p>
    <w:p w14:paraId="7F6961AA" w14:textId="39F9D96B" w:rsidR="00E13C27" w:rsidRPr="00CF1AA2" w:rsidRDefault="007D585A" w:rsidP="0036422C">
      <w:pPr>
        <w:pStyle w:val="David"/>
        <w:spacing w:before="0" w:line="360" w:lineRule="auto"/>
        <w:ind w:left="3544"/>
        <w:rPr>
          <w:b/>
          <w:bCs/>
          <w:sz w:val="16"/>
          <w:szCs w:val="16"/>
          <w:rtl/>
        </w:rPr>
      </w:pPr>
      <w:bookmarkStart w:id="5" w:name="LGS_Join_List"/>
      <w:r>
        <w:rPr>
          <w:rtl/>
        </w:rPr>
        <w:t xml:space="preserve"> </w:t>
      </w:r>
      <w:bookmarkEnd w:id="5"/>
      <w:r w:rsidR="002200A1" w:rsidRPr="00CF1AA2">
        <w:rPr>
          <w:rFonts w:hint="cs"/>
          <w:rtl/>
        </w:rPr>
        <w:tab/>
      </w:r>
      <w:bookmarkStart w:id="6" w:name="LGS_PM_NamesJoin"/>
      <w:r>
        <w:rPr>
          <w:rFonts w:hint="cs"/>
          <w:rtl/>
        </w:rPr>
        <w:t xml:space="preserve"> </w:t>
      </w:r>
      <w:bookmarkEnd w:id="6"/>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7" w:name="Private_Number"/>
      <w:r>
        <w:rPr>
          <w:rFonts w:hint="cs"/>
          <w:rtl/>
        </w:rPr>
        <w:t>פ/2335/25</w:t>
      </w:r>
      <w:bookmarkEnd w:id="7"/>
    </w:p>
    <w:p w14:paraId="7F6961AC" w14:textId="77777777" w:rsidR="00E13C27" w:rsidRDefault="00E13C27" w:rsidP="00E13C27">
      <w:pPr>
        <w:spacing w:before="0" w:line="360" w:lineRule="auto"/>
        <w:ind w:left="2880" w:firstLine="720"/>
        <w:rPr>
          <w:rFonts w:cs="David"/>
          <w:sz w:val="26"/>
          <w:szCs w:val="26"/>
          <w:rtl/>
        </w:rPr>
      </w:pPr>
    </w:p>
    <w:p w14:paraId="7F6961AE" w14:textId="47DD111B" w:rsidR="00E13C27" w:rsidRDefault="00A443CF" w:rsidP="00FC3427">
      <w:pPr>
        <w:pStyle w:val="HeadHatzaotHok"/>
        <w:rPr>
          <w:rtl/>
        </w:rPr>
      </w:pPr>
      <w:bookmarkStart w:id="8" w:name="LGS_Subject"/>
      <w:r>
        <w:rPr>
          <w:rFonts w:hint="cs"/>
          <w:rtl/>
        </w:rPr>
        <w:t>הצעת חוק מס ערך מוסף (תיקון – עוסק פטור חדש), התשפ"ג–2023</w:t>
      </w:r>
      <w:bookmarkEnd w:id="8"/>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522"/>
      </w:tblGrid>
      <w:tr w:rsidR="000A5EEF" w:rsidRPr="005A106C" w14:paraId="55565489" w14:textId="77777777" w:rsidTr="001B7448">
        <w:trPr>
          <w:cantSplit/>
        </w:trPr>
        <w:tc>
          <w:tcPr>
            <w:tcW w:w="1871" w:type="dxa"/>
            <w:hideMark/>
          </w:tcPr>
          <w:p w14:paraId="5693781D" w14:textId="77777777" w:rsidR="000A5EEF" w:rsidRPr="005A106C" w:rsidRDefault="000A5EEF" w:rsidP="006540EA">
            <w:pPr>
              <w:pStyle w:val="TableSideHeading"/>
              <w:keepLines w:val="0"/>
              <w:rPr>
                <w:rFonts w:ascii="David" w:hAnsi="David"/>
                <w:sz w:val="26"/>
              </w:rPr>
            </w:pPr>
            <w:r w:rsidRPr="005A106C">
              <w:rPr>
                <w:rFonts w:ascii="David" w:hAnsi="David"/>
                <w:sz w:val="26"/>
                <w:rtl/>
              </w:rPr>
              <w:t>תיקון סעיף 1</w:t>
            </w:r>
          </w:p>
        </w:tc>
        <w:tc>
          <w:tcPr>
            <w:tcW w:w="624" w:type="dxa"/>
            <w:hideMark/>
          </w:tcPr>
          <w:p w14:paraId="7273D683" w14:textId="77777777" w:rsidR="000A5EEF" w:rsidRPr="005A106C" w:rsidRDefault="000A5EEF" w:rsidP="006540EA">
            <w:pPr>
              <w:pStyle w:val="TableText"/>
              <w:keepLines w:val="0"/>
              <w:rPr>
                <w:rFonts w:ascii="David" w:hAnsi="David"/>
                <w:sz w:val="26"/>
                <w:rtl/>
              </w:rPr>
            </w:pPr>
            <w:r w:rsidRPr="005A106C">
              <w:rPr>
                <w:rFonts w:ascii="David" w:hAnsi="David"/>
                <w:sz w:val="26"/>
                <w:rtl/>
              </w:rPr>
              <w:t>1.</w:t>
            </w:r>
          </w:p>
        </w:tc>
        <w:tc>
          <w:tcPr>
            <w:tcW w:w="7146" w:type="dxa"/>
            <w:gridSpan w:val="2"/>
            <w:hideMark/>
          </w:tcPr>
          <w:p w14:paraId="60F94198" w14:textId="77777777" w:rsidR="000A5EEF" w:rsidRPr="00921670" w:rsidRDefault="000A5EEF" w:rsidP="006540EA">
            <w:pPr>
              <w:pStyle w:val="TableBlock"/>
              <w:rPr>
                <w:rtl/>
              </w:rPr>
            </w:pPr>
            <w:r w:rsidRPr="00921670">
              <w:rPr>
                <w:rtl/>
              </w:rPr>
              <w:t>בחוק מס ערך מוסף, התשל"ו–1975</w:t>
            </w:r>
            <w:r w:rsidRPr="00921670">
              <w:rPr>
                <w:vertAlign w:val="superscript"/>
                <w:rtl/>
              </w:rPr>
              <w:footnoteReference w:id="2"/>
            </w:r>
            <w:r w:rsidRPr="00921670">
              <w:rPr>
                <w:rtl/>
              </w:rPr>
              <w:t xml:space="preserve">, בסעיף 1 – </w:t>
            </w:r>
          </w:p>
        </w:tc>
      </w:tr>
      <w:tr w:rsidR="000A5EEF" w:rsidRPr="005A106C" w14:paraId="74944483" w14:textId="77777777" w:rsidTr="001B7448">
        <w:trPr>
          <w:cantSplit/>
        </w:trPr>
        <w:tc>
          <w:tcPr>
            <w:tcW w:w="1871" w:type="dxa"/>
          </w:tcPr>
          <w:p w14:paraId="6BF5F052" w14:textId="77777777" w:rsidR="000A5EEF" w:rsidRPr="005A106C" w:rsidRDefault="000A5EEF" w:rsidP="006540EA">
            <w:pPr>
              <w:pStyle w:val="TableSideHeading"/>
              <w:rPr>
                <w:rFonts w:ascii="David" w:hAnsi="David"/>
                <w:sz w:val="26"/>
              </w:rPr>
            </w:pPr>
          </w:p>
        </w:tc>
        <w:tc>
          <w:tcPr>
            <w:tcW w:w="624" w:type="dxa"/>
          </w:tcPr>
          <w:p w14:paraId="551170D9" w14:textId="77777777" w:rsidR="000A5EEF" w:rsidRPr="005A106C" w:rsidRDefault="000A5EEF" w:rsidP="006540EA">
            <w:pPr>
              <w:pStyle w:val="TableText"/>
              <w:rPr>
                <w:rFonts w:ascii="David" w:hAnsi="David"/>
                <w:sz w:val="26"/>
              </w:rPr>
            </w:pPr>
          </w:p>
        </w:tc>
        <w:tc>
          <w:tcPr>
            <w:tcW w:w="7146" w:type="dxa"/>
            <w:gridSpan w:val="2"/>
            <w:hideMark/>
          </w:tcPr>
          <w:p w14:paraId="192326CD" w14:textId="77777777" w:rsidR="000A5EEF" w:rsidRPr="00921670" w:rsidRDefault="000A5EEF" w:rsidP="006540EA">
            <w:pPr>
              <w:pStyle w:val="TableBlock"/>
            </w:pPr>
            <w:r w:rsidRPr="00921670">
              <w:rPr>
                <w:rtl/>
              </w:rPr>
              <w:t>(1)</w:t>
            </w:r>
            <w:r w:rsidRPr="00921670">
              <w:rPr>
                <w:rtl/>
              </w:rPr>
              <w:tab/>
              <w:t xml:space="preserve">בהגדרה "עוסק פטור", בסופה יבוא "לרבות עוסק פטור </w:t>
            </w:r>
            <w:r w:rsidRPr="00921670">
              <w:rPr>
                <w:rFonts w:hint="cs"/>
                <w:rtl/>
              </w:rPr>
              <w:t>חדש</w:t>
            </w:r>
            <w:r w:rsidRPr="00921670">
              <w:rPr>
                <w:rtl/>
              </w:rPr>
              <w:t>";</w:t>
            </w:r>
          </w:p>
        </w:tc>
      </w:tr>
      <w:tr w:rsidR="000A5EEF" w:rsidRPr="005A106C" w14:paraId="05684BE1" w14:textId="77777777" w:rsidTr="001B7448">
        <w:trPr>
          <w:cantSplit/>
        </w:trPr>
        <w:tc>
          <w:tcPr>
            <w:tcW w:w="1871" w:type="dxa"/>
          </w:tcPr>
          <w:p w14:paraId="77153EB6" w14:textId="77777777" w:rsidR="000A5EEF" w:rsidRPr="005A106C" w:rsidRDefault="000A5EEF" w:rsidP="006540EA">
            <w:pPr>
              <w:pStyle w:val="TableSideHeading"/>
              <w:rPr>
                <w:rFonts w:ascii="David" w:hAnsi="David"/>
                <w:sz w:val="26"/>
                <w:rtl/>
              </w:rPr>
            </w:pPr>
          </w:p>
        </w:tc>
        <w:tc>
          <w:tcPr>
            <w:tcW w:w="624" w:type="dxa"/>
          </w:tcPr>
          <w:p w14:paraId="0513C654" w14:textId="77777777" w:rsidR="000A5EEF" w:rsidRPr="005A106C" w:rsidRDefault="000A5EEF" w:rsidP="006540EA">
            <w:pPr>
              <w:pStyle w:val="TableText"/>
              <w:rPr>
                <w:rFonts w:ascii="David" w:hAnsi="David"/>
                <w:sz w:val="26"/>
              </w:rPr>
            </w:pPr>
          </w:p>
        </w:tc>
        <w:tc>
          <w:tcPr>
            <w:tcW w:w="7146" w:type="dxa"/>
            <w:gridSpan w:val="2"/>
            <w:hideMark/>
          </w:tcPr>
          <w:p w14:paraId="62AC41E1" w14:textId="77777777" w:rsidR="000A5EEF" w:rsidRPr="00921670" w:rsidRDefault="000A5EEF" w:rsidP="006540EA">
            <w:pPr>
              <w:pStyle w:val="TableBlock"/>
            </w:pPr>
            <w:r w:rsidRPr="00921670">
              <w:rPr>
                <w:rtl/>
              </w:rPr>
              <w:t>(2)</w:t>
            </w:r>
            <w:r w:rsidRPr="00921670">
              <w:rPr>
                <w:rtl/>
              </w:rPr>
              <w:tab/>
              <w:t>אחרי ההגדרה "עוסק פטור" יבוא:</w:t>
            </w:r>
          </w:p>
        </w:tc>
      </w:tr>
      <w:tr w:rsidR="000A5EEF" w:rsidRPr="005A106C" w14:paraId="31CBF471" w14:textId="77777777" w:rsidTr="001B7448">
        <w:trPr>
          <w:cantSplit/>
        </w:trPr>
        <w:tc>
          <w:tcPr>
            <w:tcW w:w="1871" w:type="dxa"/>
          </w:tcPr>
          <w:p w14:paraId="0D33A2E0" w14:textId="77777777" w:rsidR="000A5EEF" w:rsidRPr="005A106C" w:rsidRDefault="000A5EEF" w:rsidP="006540EA">
            <w:pPr>
              <w:pStyle w:val="TableSideHeading"/>
              <w:rPr>
                <w:rFonts w:ascii="David" w:hAnsi="David"/>
                <w:sz w:val="26"/>
                <w:rtl/>
              </w:rPr>
            </w:pPr>
          </w:p>
        </w:tc>
        <w:tc>
          <w:tcPr>
            <w:tcW w:w="624" w:type="dxa"/>
          </w:tcPr>
          <w:p w14:paraId="10FC1E54" w14:textId="77777777" w:rsidR="000A5EEF" w:rsidRPr="005A106C" w:rsidRDefault="000A5EEF" w:rsidP="006540EA">
            <w:pPr>
              <w:pStyle w:val="TableText"/>
              <w:rPr>
                <w:rFonts w:ascii="David" w:hAnsi="David"/>
                <w:sz w:val="26"/>
              </w:rPr>
            </w:pPr>
          </w:p>
        </w:tc>
        <w:tc>
          <w:tcPr>
            <w:tcW w:w="624" w:type="dxa"/>
          </w:tcPr>
          <w:p w14:paraId="332443C6" w14:textId="77777777" w:rsidR="000A5EEF" w:rsidRPr="005A106C" w:rsidRDefault="000A5EEF" w:rsidP="006540EA">
            <w:pPr>
              <w:pStyle w:val="TableText"/>
              <w:rPr>
                <w:rFonts w:ascii="David" w:hAnsi="David"/>
                <w:sz w:val="26"/>
              </w:rPr>
            </w:pPr>
          </w:p>
        </w:tc>
        <w:tc>
          <w:tcPr>
            <w:tcW w:w="6522" w:type="dxa"/>
            <w:hideMark/>
          </w:tcPr>
          <w:p w14:paraId="1148D2CE" w14:textId="77777777" w:rsidR="000A5EEF" w:rsidRPr="005A106C" w:rsidRDefault="000A5EEF" w:rsidP="006540EA">
            <w:pPr>
              <w:pStyle w:val="TableBlockOutdent"/>
              <w:rPr>
                <w:rFonts w:ascii="David" w:hAnsi="David"/>
                <w:sz w:val="26"/>
              </w:rPr>
            </w:pPr>
            <w:r w:rsidRPr="005A106C">
              <w:rPr>
                <w:rFonts w:ascii="David" w:hAnsi="David"/>
                <w:sz w:val="26"/>
                <w:rtl/>
              </w:rPr>
              <w:t xml:space="preserve">""עוסק פטור </w:t>
            </w:r>
            <w:r>
              <w:rPr>
                <w:rFonts w:ascii="David" w:hAnsi="David" w:hint="cs"/>
                <w:sz w:val="26"/>
                <w:rtl/>
              </w:rPr>
              <w:t>חדש</w:t>
            </w:r>
            <w:r w:rsidRPr="005A106C">
              <w:rPr>
                <w:rFonts w:ascii="David" w:hAnsi="David"/>
                <w:sz w:val="26"/>
                <w:rtl/>
              </w:rPr>
              <w:t xml:space="preserve">" – עוסק שטרם חלפו </w:t>
            </w:r>
            <w:r>
              <w:rPr>
                <w:rFonts w:ascii="David" w:hAnsi="David" w:hint="cs"/>
                <w:sz w:val="26"/>
                <w:rtl/>
              </w:rPr>
              <w:t>שלוש</w:t>
            </w:r>
            <w:r w:rsidRPr="005A106C">
              <w:rPr>
                <w:rFonts w:ascii="David" w:hAnsi="David"/>
                <w:sz w:val="26"/>
                <w:rtl/>
              </w:rPr>
              <w:t xml:space="preserve"> שנות מס מיום רישומו ומחזור העסקאות שלו בכל עסקיו אינו עולה על 140 אחוזים מהסכום הנקוב בהגדרה "עוסק פטור" לשנה;" </w:t>
            </w:r>
          </w:p>
        </w:tc>
      </w:tr>
    </w:tbl>
    <w:p w14:paraId="7F6961CA" w14:textId="77777777" w:rsidR="002D1EE3" w:rsidRDefault="002D1EE3" w:rsidP="002D1EE3">
      <w:pPr>
        <w:pStyle w:val="HeadDivreiHesber"/>
        <w:rPr>
          <w:rtl/>
        </w:rPr>
      </w:pPr>
      <w:r w:rsidRPr="0027450A">
        <w:rPr>
          <w:rFonts w:hint="cs"/>
          <w:rtl/>
        </w:rPr>
        <w:t>דברי הסבר</w:t>
      </w:r>
    </w:p>
    <w:p w14:paraId="0665662F" w14:textId="77777777" w:rsidR="000A5EEF" w:rsidRPr="00DC4429" w:rsidRDefault="000A5EEF" w:rsidP="000A5EEF">
      <w:pPr>
        <w:pStyle w:val="Hesber"/>
        <w:rPr>
          <w:rtl/>
        </w:rPr>
      </w:pPr>
      <w:r w:rsidRPr="00DC4429">
        <w:rPr>
          <w:rtl/>
        </w:rPr>
        <w:t>חוק מס ערך מוסף, התשל"ו–1975</w:t>
      </w:r>
      <w:r>
        <w:rPr>
          <w:rFonts w:hint="cs"/>
          <w:rtl/>
        </w:rPr>
        <w:t xml:space="preserve"> (להלן </w:t>
      </w:r>
      <w:r>
        <w:rPr>
          <w:rFonts w:hint="eastAsia"/>
          <w:rtl/>
        </w:rPr>
        <w:t>–</w:t>
      </w:r>
      <w:r>
        <w:rPr>
          <w:rFonts w:hint="cs"/>
          <w:rtl/>
        </w:rPr>
        <w:t xml:space="preserve"> חוק מס ערך מוסף)</w:t>
      </w:r>
      <w:r w:rsidRPr="00DC4429">
        <w:rPr>
          <w:rtl/>
        </w:rPr>
        <w:t>, קובע את התנאים בהם המדינה מעניקה פטור ממס ערך מוסף. מטרת הפטור היא להקל על עצמאים ובעלי עסקים קטנים, שמחזור המכירות שלהם נמוך יחסית, בהתנהלותם מול רשויות המס. הרישום כעוסק פטור חוסך עלויות תפעול לבעל העסק בשל פישוט הליכי הניהול החשבונאיים והאפשרות להימנע ממתן דיווחים שוטפים לרשויות המס. על כן, רישום כעוסק פטור עשוי להיטיב עם עסקים בתחילת דרכם, וכן לשכירים או סטודנטים המעוניינים לעסוק בעבודה נוספת המניבה להם רווח קטן יחסית.</w:t>
      </w:r>
    </w:p>
    <w:p w14:paraId="7B0DDEC1" w14:textId="77777777" w:rsidR="000A5EEF" w:rsidRPr="00DC4429" w:rsidRDefault="000A5EEF" w:rsidP="000A5EEF">
      <w:pPr>
        <w:pStyle w:val="Hesber"/>
        <w:rPr>
          <w:rtl/>
        </w:rPr>
      </w:pPr>
      <w:r w:rsidRPr="00DC4429">
        <w:rPr>
          <w:rtl/>
        </w:rPr>
        <w:t>עוסק פטור מוגדר עסק שמחזור עסקאותיו בשנה אינו עולה על סכום מסוים.</w:t>
      </w:r>
      <w:r>
        <w:rPr>
          <w:rFonts w:hint="cs"/>
          <w:rtl/>
        </w:rPr>
        <w:t xml:space="preserve"> כיום, בשנת 2022, </w:t>
      </w:r>
      <w:r>
        <w:rPr>
          <w:rtl/>
        </w:rPr>
        <w:t>התקר</w:t>
      </w:r>
      <w:r>
        <w:rPr>
          <w:rFonts w:hint="cs"/>
          <w:rtl/>
        </w:rPr>
        <w:t>ה</w:t>
      </w:r>
      <w:r w:rsidRPr="00044393">
        <w:rPr>
          <w:rtl/>
        </w:rPr>
        <w:t xml:space="preserve"> היא בסך של 102,292 שקלים חדשים. נכון לשנת 2021, על פי נתוני הלשכה המרכזית לסטטיסטיקה, יש בישראל 183,294 עסקים במעמד "עוסק פטור", עסקים אלו מהווים 22.98% מכלל העסקים במשק</w:t>
      </w:r>
      <w:r w:rsidRPr="00DC4429">
        <w:rPr>
          <w:rtl/>
        </w:rPr>
        <w:t>.</w:t>
      </w:r>
    </w:p>
    <w:p w14:paraId="5E278F78" w14:textId="77777777" w:rsidR="000A5EEF" w:rsidRPr="00DC4429" w:rsidRDefault="000A5EEF" w:rsidP="000A5EEF">
      <w:pPr>
        <w:pStyle w:val="Hesber"/>
        <w:rPr>
          <w:rtl/>
        </w:rPr>
      </w:pPr>
      <w:r w:rsidRPr="00DC4429">
        <w:rPr>
          <w:rtl/>
        </w:rPr>
        <w:t xml:space="preserve">מטרת </w:t>
      </w:r>
      <w:r>
        <w:rPr>
          <w:rFonts w:hint="cs"/>
          <w:rtl/>
        </w:rPr>
        <w:t>הצעת חוק זו</w:t>
      </w:r>
      <w:r w:rsidRPr="00DC4429">
        <w:rPr>
          <w:rtl/>
        </w:rPr>
        <w:t xml:space="preserve"> היא לעודד ולהקל על פתיחת עסקים חדשים בישראל, וזאת באמצעות הוספת הגדרת "עוסק פטור </w:t>
      </w:r>
      <w:r>
        <w:rPr>
          <w:rFonts w:hint="cs"/>
          <w:rtl/>
        </w:rPr>
        <w:t>חדש</w:t>
      </w:r>
      <w:r w:rsidRPr="00DC4429">
        <w:rPr>
          <w:rtl/>
        </w:rPr>
        <w:t xml:space="preserve">" לחוק מס ערך מוסף. </w:t>
      </w:r>
    </w:p>
    <w:p w14:paraId="2EB7C417" w14:textId="77777777" w:rsidR="000A5EEF" w:rsidRPr="00DC4429" w:rsidRDefault="000A5EEF" w:rsidP="000A5EEF">
      <w:pPr>
        <w:pStyle w:val="Hesber"/>
        <w:rPr>
          <w:rtl/>
        </w:rPr>
      </w:pPr>
      <w:r w:rsidRPr="00DC4429">
        <w:rPr>
          <w:rtl/>
        </w:rPr>
        <w:t>ההסדר המוצע עשוי לתרום משמעותית לעסק בתחילת דרכו ולעודד עוסקים להגדיל את מחזור עסקאותיהם ובכך לצאת בעתיד ממעגל העוסקים הפטורים</w:t>
      </w:r>
      <w:r>
        <w:rPr>
          <w:rFonts w:hint="cs"/>
          <w:rtl/>
        </w:rPr>
        <w:t>,</w:t>
      </w:r>
      <w:r w:rsidRPr="00DC4429">
        <w:rPr>
          <w:rtl/>
        </w:rPr>
        <w:t xml:space="preserve"> </w:t>
      </w:r>
      <w:r>
        <w:rPr>
          <w:rtl/>
        </w:rPr>
        <w:t>שכאמור מהווים</w:t>
      </w:r>
      <w:r w:rsidRPr="00044393">
        <w:rPr>
          <w:rtl/>
        </w:rPr>
        <w:t xml:space="preserve"> 22.98% מכלל העוסקים במשק, נכון לשנת 2021.</w:t>
      </w:r>
    </w:p>
    <w:p w14:paraId="5AEA637F" w14:textId="77777777" w:rsidR="000A5EEF" w:rsidRPr="00DC4429" w:rsidRDefault="000A5EEF" w:rsidP="000A5EEF">
      <w:pPr>
        <w:pStyle w:val="Hesber"/>
        <w:rPr>
          <w:rtl/>
        </w:rPr>
      </w:pPr>
      <w:r w:rsidRPr="00DC4429">
        <w:rPr>
          <w:rtl/>
        </w:rPr>
        <w:t xml:space="preserve">מתוך רצון לאפשר לבעלי עסקים להתפרנס בכבוד ולהקל עליהם, </w:t>
      </w:r>
      <w:r>
        <w:rPr>
          <w:rFonts w:hint="cs"/>
          <w:rtl/>
        </w:rPr>
        <w:t>מוצע</w:t>
      </w:r>
      <w:r w:rsidRPr="00DC4429">
        <w:rPr>
          <w:rtl/>
        </w:rPr>
        <w:t xml:space="preserve"> לאפשר לעוסק </w:t>
      </w:r>
      <w:r>
        <w:rPr>
          <w:rFonts w:hint="cs"/>
          <w:rtl/>
        </w:rPr>
        <w:t>חדש</w:t>
      </w:r>
      <w:r w:rsidRPr="00DC4429">
        <w:rPr>
          <w:rtl/>
        </w:rPr>
        <w:t xml:space="preserve"> להגדיל </w:t>
      </w:r>
      <w:r w:rsidRPr="00DC4429">
        <w:rPr>
          <w:rtl/>
        </w:rPr>
        <w:lastRenderedPageBreak/>
        <w:t>את סך הכנסותיו עד לתקרה של 140 אחוזים מ</w:t>
      </w:r>
      <w:r>
        <w:rPr>
          <w:rFonts w:hint="cs"/>
          <w:rtl/>
        </w:rPr>
        <w:t>ה</w:t>
      </w:r>
      <w:r w:rsidRPr="00DC4429">
        <w:rPr>
          <w:rtl/>
        </w:rPr>
        <w:t xml:space="preserve">סכום </w:t>
      </w:r>
      <w:r>
        <w:rPr>
          <w:rFonts w:hint="cs"/>
          <w:rtl/>
        </w:rPr>
        <w:t>הנקוב בהגדרת עוסק פטור</w:t>
      </w:r>
      <w:r w:rsidRPr="00DC4429">
        <w:rPr>
          <w:rtl/>
        </w:rPr>
        <w:t xml:space="preserve">, וכך להיקרא "עוסק פטור </w:t>
      </w:r>
      <w:r>
        <w:rPr>
          <w:rFonts w:hint="cs"/>
          <w:rtl/>
        </w:rPr>
        <w:t>חדש</w:t>
      </w:r>
      <w:r w:rsidRPr="00DC4429">
        <w:rPr>
          <w:rtl/>
        </w:rPr>
        <w:t xml:space="preserve">" במהלך </w:t>
      </w:r>
      <w:r w:rsidRPr="00DC4429">
        <w:rPr>
          <w:rFonts w:hint="cs"/>
          <w:rtl/>
        </w:rPr>
        <w:t>שלוש</w:t>
      </w:r>
      <w:r w:rsidRPr="00DC4429">
        <w:rPr>
          <w:rtl/>
        </w:rPr>
        <w:t xml:space="preserve"> שנות המס הראשונות לרישומו. עוסק פטור </w:t>
      </w:r>
      <w:r>
        <w:rPr>
          <w:rFonts w:hint="cs"/>
          <w:rtl/>
        </w:rPr>
        <w:t>חדש</w:t>
      </w:r>
      <w:r w:rsidRPr="00DC4429">
        <w:rPr>
          <w:rtl/>
        </w:rPr>
        <w:t xml:space="preserve"> ייהנה מההקלות ה</w:t>
      </w:r>
      <w:r>
        <w:rPr>
          <w:rFonts w:hint="cs"/>
          <w:rtl/>
        </w:rPr>
        <w:t>ניתנות</w:t>
      </w:r>
      <w:r w:rsidRPr="00DC4429">
        <w:rPr>
          <w:rtl/>
        </w:rPr>
        <w:t xml:space="preserve"> </w:t>
      </w:r>
      <w:r>
        <w:rPr>
          <w:rFonts w:hint="cs"/>
          <w:rtl/>
        </w:rPr>
        <w:t>ל</w:t>
      </w:r>
      <w:r w:rsidRPr="00DC4429">
        <w:rPr>
          <w:rtl/>
        </w:rPr>
        <w:t>עוסק פטור, ובכך יש כדי לעודד יוזמות חדשות לפתיחת עסקים חדשים בישראל ולהנעת הצמיחה הכלכלית במשק.</w:t>
      </w:r>
    </w:p>
    <w:p w14:paraId="6CF7E15E" w14:textId="5B7F92E9" w:rsidR="000A5EEF" w:rsidRDefault="000A5EEF" w:rsidP="000A5EEF">
      <w:pPr>
        <w:pStyle w:val="Hesber"/>
        <w:rPr>
          <w:rtl/>
        </w:rPr>
      </w:pPr>
      <w:r w:rsidRPr="00DC4429">
        <w:rPr>
          <w:rtl/>
        </w:rPr>
        <w:t xml:space="preserve">הצעות חוק דומות בעיקרן הונחו על שולחן הכנסת העשרים, על שולחן הכנסת העשרים ואחת, על שולחן הכנסת העשרים ושתיים ועל שולחן הכנסת העשרים ושלוש על ידי חבר הכנסת יעקב אשר וקבוצת חברי הכנסת (פ/4470/20; פ/257/21; פ/490/22; פ/407/23), ועל שולחן הכנסת העשרים וארבע על ידי חבר </w:t>
      </w:r>
      <w:r>
        <w:rPr>
          <w:rFonts w:hint="cs"/>
          <w:rtl/>
        </w:rPr>
        <w:t>ה</w:t>
      </w:r>
      <w:r w:rsidRPr="00DC4429">
        <w:rPr>
          <w:rtl/>
        </w:rPr>
        <w:t xml:space="preserve">כנסת יעקב אשר וקבוצת חברי </w:t>
      </w:r>
      <w:r>
        <w:rPr>
          <w:rFonts w:hint="cs"/>
          <w:rtl/>
        </w:rPr>
        <w:t>ה</w:t>
      </w:r>
      <w:r w:rsidRPr="00DC4429">
        <w:rPr>
          <w:rtl/>
        </w:rPr>
        <w:t>כנסת (פ/156/24)</w:t>
      </w:r>
      <w:r>
        <w:rPr>
          <w:rFonts w:hint="cs"/>
          <w:rtl/>
        </w:rPr>
        <w:t xml:space="preserve"> ועל ידי</w:t>
      </w:r>
      <w:r w:rsidRPr="00DC4429">
        <w:rPr>
          <w:rtl/>
        </w:rPr>
        <w:t xml:space="preserve"> חבר הכנסת ולדימיר בליאק וקבוצת חברי </w:t>
      </w:r>
      <w:r>
        <w:rPr>
          <w:rFonts w:hint="cs"/>
          <w:rtl/>
        </w:rPr>
        <w:t>ה</w:t>
      </w:r>
      <w:r w:rsidRPr="00DC4429">
        <w:rPr>
          <w:rtl/>
        </w:rPr>
        <w:t>כנסת (פ/470/24).</w:t>
      </w:r>
    </w:p>
    <w:p w14:paraId="2EFEC206" w14:textId="040E3313" w:rsidR="00021432" w:rsidRDefault="00021432" w:rsidP="000A5EEF">
      <w:pPr>
        <w:pStyle w:val="Hesber"/>
        <w:rPr>
          <w:rtl/>
        </w:rPr>
      </w:pPr>
      <w:r>
        <w:rPr>
          <w:rFonts w:hint="cs"/>
          <w:rtl/>
        </w:rPr>
        <w:t>הצעת חוק זהה הונחה על שולחן הכנסת העשרים וחמש על ידי חבר הכנסת חנוך דב מלביצקי (פ/1175/25).</w:t>
      </w:r>
    </w:p>
    <w:p w14:paraId="6E3861D6" w14:textId="7798336C" w:rsidR="00021432" w:rsidRDefault="00021432" w:rsidP="000A5EEF">
      <w:pPr>
        <w:pStyle w:val="Hesber"/>
        <w:rPr>
          <w:rtl/>
        </w:rPr>
      </w:pPr>
      <w:r>
        <w:rPr>
          <w:rFonts w:hint="cs"/>
          <w:rtl/>
        </w:rPr>
        <w:t xml:space="preserve">הצעת החוק זהה לפ/1175/25 ולפיכך לא נבדקה מחדש על ידי הלשכה המשפטית של הכנסת. </w:t>
      </w:r>
    </w:p>
    <w:p w14:paraId="7F6961CB" w14:textId="77777777" w:rsidR="00E13C27" w:rsidRDefault="00E13C27" w:rsidP="00E13C27">
      <w:pPr>
        <w:pStyle w:val="Hesber"/>
        <w:rPr>
          <w:rtl/>
        </w:rPr>
      </w:pPr>
    </w:p>
    <w:p w14:paraId="06E60E15" w14:textId="77777777" w:rsidR="00FC3427" w:rsidRDefault="00FC3427" w:rsidP="00E13C27">
      <w:pPr>
        <w:pStyle w:val="Hesber"/>
        <w:rPr>
          <w:rtl/>
        </w:rPr>
      </w:pPr>
    </w:p>
    <w:p w14:paraId="42B6E3DE" w14:textId="77777777" w:rsidR="00FC3427" w:rsidRDefault="00FC3427" w:rsidP="00E13C27">
      <w:pPr>
        <w:pStyle w:val="Hesber"/>
        <w:rPr>
          <w:rtl/>
        </w:rPr>
      </w:pPr>
    </w:p>
    <w:p w14:paraId="7D5083E0" w14:textId="77777777" w:rsidR="00FC3427" w:rsidRDefault="00FC3427" w:rsidP="00E13C27">
      <w:pPr>
        <w:pStyle w:val="Hesber"/>
        <w:rPr>
          <w:rtl/>
        </w:rPr>
      </w:pPr>
    </w:p>
    <w:p w14:paraId="14E02C7A" w14:textId="77777777" w:rsidR="00FC3427" w:rsidRDefault="00FC3427" w:rsidP="00E13C27">
      <w:pPr>
        <w:pStyle w:val="Hesber"/>
        <w:rPr>
          <w:rtl/>
        </w:rPr>
      </w:pPr>
    </w:p>
    <w:p w14:paraId="0A40105C" w14:textId="77777777" w:rsidR="004A1479" w:rsidRDefault="00FC3427">
      <w:pPr>
        <w:spacing w:before="0" w:line="276" w:lineRule="auto"/>
        <w:jc w:val="left"/>
      </w:pPr>
      <w:bookmarkStart w:id="9" w:name="selectedDocDateB"/>
      <w:bookmarkEnd w:id="9"/>
      <w:r>
        <w:rPr>
          <w:rFonts w:ascii="David" w:eastAsia="David" w:hAnsi="David" w:cs="David" w:hint="cs"/>
          <w:sz w:val="26"/>
          <w:szCs w:val="26"/>
          <w:rtl/>
        </w:rPr>
        <w:t>--------------------------------</w:t>
      </w:r>
    </w:p>
    <w:p w14:paraId="56C04C39" w14:textId="77777777" w:rsidR="004A1479" w:rsidRDefault="00FC3427">
      <w:pPr>
        <w:spacing w:before="0" w:line="360" w:lineRule="auto"/>
        <w:jc w:val="left"/>
      </w:pPr>
      <w:r>
        <w:rPr>
          <w:rFonts w:ascii="David" w:eastAsia="David" w:hAnsi="David" w:cs="David" w:hint="cs"/>
          <w:sz w:val="26"/>
          <w:szCs w:val="26"/>
          <w:rtl/>
        </w:rPr>
        <w:t>הוגשה ליו"ר הכנסת והסגנים</w:t>
      </w:r>
    </w:p>
    <w:p w14:paraId="2A390664" w14:textId="77777777" w:rsidR="004A1479" w:rsidRDefault="00FC3427">
      <w:pPr>
        <w:spacing w:before="0" w:line="360" w:lineRule="auto"/>
        <w:jc w:val="left"/>
      </w:pPr>
      <w:r>
        <w:rPr>
          <w:rFonts w:ascii="David" w:eastAsia="David" w:hAnsi="David" w:cs="David" w:hint="cs"/>
          <w:sz w:val="26"/>
          <w:szCs w:val="26"/>
          <w:rtl/>
        </w:rPr>
        <w:t>והונחה על שולחן הכנסת ביום</w:t>
      </w:r>
    </w:p>
    <w:p w14:paraId="68B70271" w14:textId="77777777" w:rsidR="004A1479" w:rsidRDefault="00FC3427">
      <w:pPr>
        <w:spacing w:before="0" w:line="360" w:lineRule="auto"/>
        <w:jc w:val="left"/>
      </w:pPr>
      <w:r>
        <w:rPr>
          <w:rFonts w:ascii="David" w:eastAsia="David" w:hAnsi="David" w:cs="David" w:hint="cs"/>
          <w:sz w:val="26"/>
          <w:szCs w:val="26"/>
          <w:rtl/>
        </w:rPr>
        <w:t xml:space="preserve">כ"ב בשבט התשפ"ג (13.02.2023) </w:t>
      </w:r>
    </w:p>
    <w:p w14:paraId="4FE59A44" w14:textId="77777777" w:rsidR="004A1479" w:rsidRDefault="004A1479"/>
    <w:sectPr w:rsidR="004A1479"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21B02FC5"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F6798B">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786D5117" w14:textId="77777777" w:rsidR="000A5EEF" w:rsidRDefault="000A5EEF" w:rsidP="000A5EEF">
      <w:pPr>
        <w:pStyle w:val="a4"/>
        <w:rPr>
          <w:rtl/>
        </w:rPr>
      </w:pPr>
      <w:r>
        <w:rPr>
          <w:rStyle w:val="a6"/>
        </w:rPr>
        <w:footnoteRef/>
      </w:r>
      <w:r>
        <w:rPr>
          <w:rtl/>
        </w:rPr>
        <w:t xml:space="preserve"> </w:t>
      </w:r>
      <w:r>
        <w:rPr>
          <w:rFonts w:hint="cs"/>
          <w:rtl/>
        </w:rPr>
        <w:t>ס"ח התשל"ו, עמ' 52.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21432"/>
    <w:rsid w:val="00063A3E"/>
    <w:rsid w:val="00072CAC"/>
    <w:rsid w:val="0007681A"/>
    <w:rsid w:val="000A542E"/>
    <w:rsid w:val="000A5EEF"/>
    <w:rsid w:val="00102B6B"/>
    <w:rsid w:val="001052D4"/>
    <w:rsid w:val="0010644B"/>
    <w:rsid w:val="001207F8"/>
    <w:rsid w:val="00121924"/>
    <w:rsid w:val="001279A8"/>
    <w:rsid w:val="0014195F"/>
    <w:rsid w:val="00152609"/>
    <w:rsid w:val="00153E1B"/>
    <w:rsid w:val="001A0623"/>
    <w:rsid w:val="001B7448"/>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A1479"/>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2BEB"/>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6798B"/>
    <w:rsid w:val="00F86A1E"/>
    <w:rsid w:val="00FA5E88"/>
    <w:rsid w:val="00FC34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510DF7B3-B352-487C-81CA-1F5599F03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0A5EEF"/>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purl.org/dc/terms/"/>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http://purl.org/dc/dcmitype/"/>
    <ds:schemaRef ds:uri="290d5b49-c690-4c6f-bbb9-1e50dab33eee"/>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3.xml><?xml version="1.0" encoding="utf-8"?>
<ds:datastoreItem xmlns:ds="http://schemas.openxmlformats.org/officeDocument/2006/customXml" ds:itemID="{C27E81A4-4A08-40BB-A03B-F31D5F43C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68F7D5-0A32-42D4-AD7E-E35071EA0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440</Words>
  <Characters>2201</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2636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דפנה ברנאי</cp:lastModifiedBy>
  <cp:revision>8</cp:revision>
  <cp:lastPrinted>2023-02-06T14:39:00Z</cp:lastPrinted>
  <dcterms:created xsi:type="dcterms:W3CDTF">2015-04-20T09:58:00Z</dcterms:created>
  <dcterms:modified xsi:type="dcterms:W3CDTF">2023-02-06T14:39:00Z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2200565</vt:r8>
  </property>
</Properties>
</file>